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1FA3" w14:textId="77777777" w:rsidR="008A1AD9" w:rsidRPr="00044320" w:rsidRDefault="008A1AD9" w:rsidP="00EA7292">
      <w:pPr>
        <w:spacing w:after="0" w:line="240" w:lineRule="auto"/>
        <w:ind w:left="-127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адвокаты!</w:t>
      </w:r>
    </w:p>
    <w:p w14:paraId="16F791ED" w14:textId="77777777" w:rsidR="001A4D34" w:rsidRPr="00044320" w:rsidRDefault="001A4D34" w:rsidP="00CF4F59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A5DF2E" w14:textId="6325FFAB" w:rsidR="008A1AD9" w:rsidRDefault="000A4369" w:rsidP="00CF4F59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181094479"/>
      <w:r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Адвокатская</w:t>
      </w:r>
      <w:r w:rsidR="008A1AD9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палат</w:t>
      </w:r>
      <w:r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A1AD9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напоминает вам о</w:t>
      </w:r>
      <w:r w:rsidR="008F60A5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обязанности </w:t>
      </w:r>
      <w:r w:rsidR="008A1AD9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</w:t>
      </w:r>
      <w:r w:rsidR="008F60A5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="008A1AD9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1AD9" w:rsidRP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страховы</w:t>
      </w:r>
      <w:r w:rsidR="008F60A5" w:rsidRP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 взносы</w:t>
      </w:r>
      <w:r w:rsidR="008A1AD9" w:rsidRP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Обязательное пенсионное страхование </w:t>
      </w:r>
      <w:r w:rsidR="008A1AD9" w:rsidRPr="00620B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</w:t>
      </w:r>
      <w:r w:rsidR="008A1AD9" w:rsidRPr="00044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ПС) </w:t>
      </w:r>
      <w:r w:rsidR="008A1AD9" w:rsidRPr="00044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A1AD9" w:rsidRPr="00044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A1AD9" w:rsidRP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Обязательное медицинское страхование </w:t>
      </w:r>
      <w:r w:rsidR="008A1AD9" w:rsidRPr="00620B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(ОМС</w:t>
      </w:r>
      <w:r w:rsidR="008A1AD9" w:rsidRPr="00044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="008A1AD9" w:rsidRPr="00B9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20</w:t>
      </w:r>
      <w:r w:rsidR="00AB7D4B" w:rsidRPr="00B9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BA00B8" w:rsidRPr="00B9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8A1AD9" w:rsidRPr="00B9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D763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3CE304B" w14:textId="56D3E2C5" w:rsidR="00D763C7" w:rsidRPr="00D763C7" w:rsidRDefault="00D763C7" w:rsidP="00CF4F59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совокупном фиксированном размере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763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49 500 руб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AD48DDC" w14:textId="1752DE42" w:rsidR="003A3926" w:rsidRDefault="003A3926" w:rsidP="00CF4F59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253954" w14:textId="19AF75E3" w:rsidR="003A3926" w:rsidRDefault="003A3926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39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Срок оплаты страховых взносов –</w:t>
      </w:r>
      <w:r w:rsidRPr="003A39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 31.12.2024 </w:t>
      </w:r>
      <w:r w:rsidRPr="003A39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(с учетом выходных – до 09.01.2025)</w:t>
      </w:r>
    </w:p>
    <w:p w14:paraId="7B4A4287" w14:textId="6AE736AB" w:rsidR="00D763C7" w:rsidRDefault="00D763C7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4E8BDB" w14:textId="28CF1D65" w:rsidR="00B94038" w:rsidRDefault="00D763C7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Оплата осуществляется </w:t>
      </w:r>
      <w:r w:rsidR="00620B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посредством единого налогового платежа (ЕНП) </w:t>
      </w:r>
      <w:r w:rsidR="002F69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единый налоговый счет налогоплательщика (ЕНС). Оплату можно произвести </w:t>
      </w:r>
      <w:r w:rsid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следующими</w:t>
      </w:r>
      <w:r w:rsidR="002F69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способами:</w:t>
      </w:r>
    </w:p>
    <w:p w14:paraId="393D04A9" w14:textId="02793FB9" w:rsidR="002F6930" w:rsidRPr="00376FE8" w:rsidRDefault="00CF4F59" w:rsidP="00376FE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через банк;</w:t>
      </w:r>
    </w:p>
    <w:p w14:paraId="1F41909C" w14:textId="69B1FC7A" w:rsidR="002F6930" w:rsidRPr="00376FE8" w:rsidRDefault="002F6930" w:rsidP="00376FE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через Личный кабинет налогоплательщика </w:t>
      </w:r>
      <w:r w:rsidRP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r w:rsidRPr="00376FE8">
        <w:rPr>
          <w:rStyle w:val="a5"/>
          <w:color w:val="7030A0"/>
        </w:rPr>
        <w:t>nalog.ru</w:t>
      </w:r>
      <w:r w:rsidR="00CF4F59" w:rsidRPr="00376FE8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="00CF4F59" w:rsidRP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путем пополнения </w:t>
      </w:r>
      <w:r w:rsidR="00B94632" w:rsidRP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баланса </w:t>
      </w:r>
      <w:r w:rsidR="0015797B" w:rsidRP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</w:t>
      </w:r>
      <w:r w:rsid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FE8" w:rsidRPr="00376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(рекомендуемый способ оплаты);</w:t>
      </w:r>
    </w:p>
    <w:p w14:paraId="2E017078" w14:textId="77777777" w:rsidR="00376FE8" w:rsidRPr="00376FE8" w:rsidRDefault="00CF4F59" w:rsidP="00376FE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сайте </w:t>
      </w:r>
      <w:r w:rsidR="0015797B"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ФНС России</w:t>
      </w: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сервисе «Уплата налогов и</w:t>
      </w: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пошлин»  </w:t>
      </w:r>
      <w:hyperlink r:id="rId5" w:history="1">
        <w:r w:rsidRPr="0015797B">
          <w:rPr>
            <w:rStyle w:val="a5"/>
          </w:rPr>
          <w:t>https://service.nalo</w:t>
        </w:r>
        <w:r w:rsidRPr="0015797B">
          <w:rPr>
            <w:rStyle w:val="a5"/>
          </w:rPr>
          <w:t>g</w:t>
        </w:r>
        <w:r w:rsidRPr="0015797B">
          <w:rPr>
            <w:rStyle w:val="a5"/>
          </w:rPr>
          <w:t>.ru/p</w:t>
        </w:r>
        <w:r w:rsidRPr="0015797B">
          <w:rPr>
            <w:rStyle w:val="a5"/>
          </w:rPr>
          <w:t>a</w:t>
        </w:r>
        <w:r w:rsidRPr="0015797B">
          <w:rPr>
            <w:rStyle w:val="a5"/>
          </w:rPr>
          <w:t>yment/in</w:t>
        </w:r>
        <w:r w:rsidRPr="0015797B">
          <w:rPr>
            <w:rStyle w:val="a5"/>
          </w:rPr>
          <w:t>d</w:t>
        </w:r>
        <w:r w:rsidRPr="0015797B">
          <w:rPr>
            <w:rStyle w:val="a5"/>
          </w:rPr>
          <w:t>ex.html</w:t>
        </w:r>
      </w:hyperlink>
    </w:p>
    <w:p w14:paraId="495644BA" w14:textId="623F35D7" w:rsidR="0015797B" w:rsidRPr="00376FE8" w:rsidRDefault="00376FE8" w:rsidP="00376FE8">
      <w:pPr>
        <w:pStyle w:val="a8"/>
        <w:spacing w:after="0" w:line="240" w:lineRule="auto"/>
        <w:ind w:left="-91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(Уплата налогов и пошлин  </w:t>
      </w:r>
      <w:r>
        <w:rPr>
          <w:shd w:val="clear" w:color="auto" w:fill="FFFFFF"/>
        </w:rPr>
        <w:sym w:font="Symbol" w:char="F03E"/>
      </w: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Индивидуальным предпринимателям </w:t>
      </w:r>
      <w:r>
        <w:rPr>
          <w:shd w:val="clear" w:color="auto" w:fill="FFFFFF"/>
        </w:rPr>
        <w:sym w:font="Symbol" w:char="F03E"/>
      </w:r>
      <w:r w:rsidRP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Пополнить ЕНС)</w:t>
      </w:r>
    </w:p>
    <w:p w14:paraId="64CE066C" w14:textId="77777777" w:rsidR="00376FE8" w:rsidRDefault="00376FE8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C84FA4C" w14:textId="081CCADA" w:rsidR="0015797B" w:rsidRDefault="0015797B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Оплата через Личный кабинет или </w:t>
      </w:r>
      <w:r w:rsid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помощью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сервис</w:t>
      </w:r>
      <w:r w:rsid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сайте ФНС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позволит 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безошибочно уплатить фиксированные страховые взносы, внести очередной авансовый платеж</w:t>
      </w:r>
      <w:r w:rsidR="00376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или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внести средства на ЕНС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144A962" w14:textId="383F4D7B" w:rsidR="00CF4F59" w:rsidRPr="00CF4F59" w:rsidRDefault="00B94632" w:rsidP="00CF4F59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Там же можно </w:t>
      </w:r>
      <w:r w:rsidR="00CF4F59" w:rsidRPr="00EA729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сформировать квитанцию об оплате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ней 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заплатить традиционным способом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банке или 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через мобильное приложение, терминал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CF4F59" w:rsidRPr="00CF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Сервис сам заполнит нужные платежные реквизиты.</w:t>
      </w:r>
    </w:p>
    <w:p w14:paraId="3A629432" w14:textId="77777777" w:rsidR="002F6930" w:rsidRDefault="002F6930" w:rsidP="009A4533">
      <w:pPr>
        <w:spacing w:after="0" w:line="240" w:lineRule="auto"/>
        <w:ind w:left="-127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D4DC441" w14:textId="702712E8" w:rsidR="002F6930" w:rsidRDefault="00376FE8" w:rsidP="00376FE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Оплата в банковском учреждении производится по следующим единым реквизитам:</w:t>
      </w:r>
    </w:p>
    <w:tbl>
      <w:tblPr>
        <w:tblW w:w="11118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6238"/>
      </w:tblGrid>
      <w:tr w:rsidR="00263796" w:rsidRPr="0089396A" w14:paraId="758ACF92" w14:textId="77777777" w:rsidTr="00FD3117">
        <w:trPr>
          <w:tblCellSpacing w:w="15" w:type="dxa"/>
        </w:trPr>
        <w:tc>
          <w:tcPr>
            <w:tcW w:w="11058" w:type="dxa"/>
            <w:gridSpan w:val="2"/>
          </w:tcPr>
          <w:p w14:paraId="78788873" w14:textId="2095B07A" w:rsidR="00263796" w:rsidRPr="003A3926" w:rsidRDefault="00263796" w:rsidP="00EA7292">
            <w:pPr>
              <w:spacing w:after="0" w:line="240" w:lineRule="auto"/>
              <w:ind w:left="-12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A392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РЕКВИЗИТЫ</w:t>
            </w:r>
          </w:p>
          <w:p w14:paraId="76EF18EF" w14:textId="77777777" w:rsidR="00263796" w:rsidRDefault="00263796" w:rsidP="00EA7292">
            <w:pPr>
              <w:spacing w:after="0" w:line="240" w:lineRule="auto"/>
              <w:ind w:left="-127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  <w:r w:rsidRPr="003A392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для оплаты фиксированных взносов на ОПС и ОМС - </w:t>
            </w:r>
            <w:r w:rsidRPr="003A392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4</w:t>
            </w:r>
            <w:r w:rsidRPr="003A392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9</w:t>
            </w:r>
            <w:r w:rsidRPr="003A392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 </w:t>
            </w:r>
            <w:r w:rsidRPr="003A392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500</w:t>
            </w:r>
            <w:r w:rsidRPr="003A392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руб.</w:t>
            </w:r>
          </w:p>
          <w:p w14:paraId="7E3C9771" w14:textId="2FE0511B" w:rsidR="00CF4F59" w:rsidRPr="001F0990" w:rsidRDefault="00CF4F59" w:rsidP="00EA7292">
            <w:pPr>
              <w:spacing w:after="0" w:line="240" w:lineRule="auto"/>
              <w:ind w:left="-127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банковском учреждении</w:t>
            </w:r>
          </w:p>
        </w:tc>
      </w:tr>
      <w:tr w:rsidR="00263796" w:rsidRPr="0089396A" w14:paraId="1632E8EC" w14:textId="77777777" w:rsidTr="00FD3117">
        <w:trPr>
          <w:tblCellSpacing w:w="15" w:type="dxa"/>
        </w:trPr>
        <w:tc>
          <w:tcPr>
            <w:tcW w:w="4835" w:type="dxa"/>
          </w:tcPr>
          <w:p w14:paraId="694A0840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193" w:type="dxa"/>
          </w:tcPr>
          <w:p w14:paraId="582B74F6" w14:textId="5723DED8" w:rsidR="00263796" w:rsidRPr="008A1468" w:rsidRDefault="001A0FF3" w:rsidP="00FD311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FF3">
              <w:rPr>
                <w:rFonts w:ascii="Times New Roman" w:eastAsia="Times New Roman" w:hAnsi="Times New Roman" w:cs="Times New Roman"/>
                <w:lang w:eastAsia="ru-RU"/>
              </w:rPr>
              <w:t>Казначейство России (ФНС России)</w:t>
            </w:r>
          </w:p>
        </w:tc>
      </w:tr>
      <w:tr w:rsidR="00263796" w:rsidRPr="0089396A" w14:paraId="04A940BF" w14:textId="77777777" w:rsidTr="00FD3117">
        <w:trPr>
          <w:tblCellSpacing w:w="15" w:type="dxa"/>
        </w:trPr>
        <w:tc>
          <w:tcPr>
            <w:tcW w:w="4835" w:type="dxa"/>
          </w:tcPr>
          <w:p w14:paraId="3A1E5A43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193" w:type="dxa"/>
          </w:tcPr>
          <w:p w14:paraId="39797C7B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7727406020</w:t>
            </w:r>
          </w:p>
        </w:tc>
      </w:tr>
      <w:tr w:rsidR="00263796" w:rsidRPr="0089396A" w14:paraId="4343DCC3" w14:textId="77777777" w:rsidTr="00FD3117">
        <w:trPr>
          <w:tblCellSpacing w:w="15" w:type="dxa"/>
        </w:trPr>
        <w:tc>
          <w:tcPr>
            <w:tcW w:w="4835" w:type="dxa"/>
          </w:tcPr>
          <w:p w14:paraId="6C258C7E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КПП получателя</w:t>
            </w:r>
          </w:p>
        </w:tc>
        <w:tc>
          <w:tcPr>
            <w:tcW w:w="6193" w:type="dxa"/>
          </w:tcPr>
          <w:p w14:paraId="778BA4F2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770801001</w:t>
            </w:r>
          </w:p>
        </w:tc>
      </w:tr>
      <w:tr w:rsidR="00263796" w:rsidRPr="0089396A" w14:paraId="57AC4A45" w14:textId="77777777" w:rsidTr="00FD3117">
        <w:trPr>
          <w:tblCellSpacing w:w="15" w:type="dxa"/>
        </w:trPr>
        <w:tc>
          <w:tcPr>
            <w:tcW w:w="4835" w:type="dxa"/>
          </w:tcPr>
          <w:p w14:paraId="1D7900A1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 средств</w:t>
            </w:r>
          </w:p>
        </w:tc>
        <w:tc>
          <w:tcPr>
            <w:tcW w:w="6193" w:type="dxa"/>
          </w:tcPr>
          <w:p w14:paraId="4619E785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ТУЛА БАНКА РОССИИ//УФК </w:t>
            </w:r>
          </w:p>
          <w:p w14:paraId="6AD3BAA5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области, г Тула</w:t>
            </w:r>
          </w:p>
        </w:tc>
      </w:tr>
      <w:tr w:rsidR="00263796" w:rsidRPr="0089396A" w14:paraId="309F9F09" w14:textId="77777777" w:rsidTr="00FD3117">
        <w:trPr>
          <w:tblCellSpacing w:w="15" w:type="dxa"/>
        </w:trPr>
        <w:tc>
          <w:tcPr>
            <w:tcW w:w="4835" w:type="dxa"/>
          </w:tcPr>
          <w:p w14:paraId="07AA1C80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БИК банка получателя средств (БИК ТОФК)</w:t>
            </w:r>
          </w:p>
        </w:tc>
        <w:tc>
          <w:tcPr>
            <w:tcW w:w="6193" w:type="dxa"/>
          </w:tcPr>
          <w:p w14:paraId="24140F67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017003983</w:t>
            </w:r>
          </w:p>
        </w:tc>
      </w:tr>
      <w:tr w:rsidR="00263796" w:rsidRPr="0089396A" w14:paraId="57B6548B" w14:textId="77777777" w:rsidTr="00FD3117">
        <w:trPr>
          <w:tblCellSpacing w:w="15" w:type="dxa"/>
        </w:trPr>
        <w:tc>
          <w:tcPr>
            <w:tcW w:w="4835" w:type="dxa"/>
          </w:tcPr>
          <w:p w14:paraId="76A4F415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Номер счета банка получателя средств </w:t>
            </w:r>
          </w:p>
          <w:p w14:paraId="3134C556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(номер банковского счета, входящего в состав единого казначейского счета)</w:t>
            </w:r>
          </w:p>
        </w:tc>
        <w:tc>
          <w:tcPr>
            <w:tcW w:w="6193" w:type="dxa"/>
          </w:tcPr>
          <w:p w14:paraId="508349E2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40102810445370000059</w:t>
            </w:r>
          </w:p>
        </w:tc>
      </w:tr>
      <w:tr w:rsidR="00263796" w:rsidRPr="0089396A" w14:paraId="01E2642F" w14:textId="77777777" w:rsidTr="00FD3117">
        <w:trPr>
          <w:tblCellSpacing w:w="15" w:type="dxa"/>
        </w:trPr>
        <w:tc>
          <w:tcPr>
            <w:tcW w:w="4835" w:type="dxa"/>
          </w:tcPr>
          <w:p w14:paraId="08D6327D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193" w:type="dxa"/>
          </w:tcPr>
          <w:p w14:paraId="1C5B9EA8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03100643000000018500</w:t>
            </w:r>
          </w:p>
        </w:tc>
      </w:tr>
      <w:tr w:rsidR="00263796" w:rsidRPr="0089396A" w14:paraId="39EDCB40" w14:textId="77777777" w:rsidTr="00FD3117">
        <w:trPr>
          <w:tblCellSpacing w:w="15" w:type="dxa"/>
        </w:trPr>
        <w:tc>
          <w:tcPr>
            <w:tcW w:w="4835" w:type="dxa"/>
          </w:tcPr>
          <w:p w14:paraId="652A07AF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14:paraId="1875AFA7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(поле 104 платежного поручения)</w:t>
            </w:r>
          </w:p>
        </w:tc>
        <w:tc>
          <w:tcPr>
            <w:tcW w:w="6193" w:type="dxa"/>
          </w:tcPr>
          <w:p w14:paraId="75E0536F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18201061201010000510</w:t>
            </w:r>
          </w:p>
        </w:tc>
      </w:tr>
      <w:tr w:rsidR="00263796" w:rsidRPr="0089396A" w14:paraId="52FCE08C" w14:textId="77777777" w:rsidTr="00FD3117">
        <w:trPr>
          <w:tblCellSpacing w:w="15" w:type="dxa"/>
        </w:trPr>
        <w:tc>
          <w:tcPr>
            <w:tcW w:w="4835" w:type="dxa"/>
          </w:tcPr>
          <w:p w14:paraId="729B2EE3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4662B619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(поле 101 платежного поручения)</w:t>
            </w:r>
          </w:p>
        </w:tc>
        <w:tc>
          <w:tcPr>
            <w:tcW w:w="6193" w:type="dxa"/>
          </w:tcPr>
          <w:p w14:paraId="53F0ABD5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263796" w:rsidRPr="0089396A" w14:paraId="1FF616C3" w14:textId="77777777" w:rsidTr="00FD3117">
        <w:trPr>
          <w:tblCellSpacing w:w="15" w:type="dxa"/>
        </w:trPr>
        <w:tc>
          <w:tcPr>
            <w:tcW w:w="4835" w:type="dxa"/>
          </w:tcPr>
          <w:p w14:paraId="4A3F305A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6193" w:type="dxa"/>
          </w:tcPr>
          <w:p w14:paraId="752ED032" w14:textId="77777777" w:rsidR="00263796" w:rsidRPr="008A1468" w:rsidRDefault="00263796" w:rsidP="00FD311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</w:t>
            </w:r>
          </w:p>
        </w:tc>
      </w:tr>
      <w:tr w:rsidR="00263796" w:rsidRPr="0089396A" w14:paraId="78CEA369" w14:textId="77777777" w:rsidTr="00EA7292">
        <w:trPr>
          <w:trHeight w:val="378"/>
          <w:tblCellSpacing w:w="15" w:type="dxa"/>
        </w:trPr>
        <w:tc>
          <w:tcPr>
            <w:tcW w:w="4835" w:type="dxa"/>
          </w:tcPr>
          <w:p w14:paraId="3ED3EF69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63946E4D" w14:textId="77777777" w:rsidR="00263796" w:rsidRPr="008A1468" w:rsidRDefault="00263796" w:rsidP="00FD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105 платежного поручения)</w:t>
            </w:r>
          </w:p>
        </w:tc>
        <w:tc>
          <w:tcPr>
            <w:tcW w:w="6193" w:type="dxa"/>
          </w:tcPr>
          <w:p w14:paraId="1658D664" w14:textId="77777777" w:rsidR="00EA7292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6C6864F8" w14:textId="76683226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67 302 000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Балаклавский муниципальный округ</w:t>
            </w:r>
          </w:p>
          <w:p w14:paraId="7BF666EA" w14:textId="77777777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67 304 000 – город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Инкерман</w:t>
            </w:r>
            <w:proofErr w:type="spellEnd"/>
          </w:p>
          <w:p w14:paraId="36D723B5" w14:textId="77777777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67 306 000 –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Орлиновский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7681A49A" w14:textId="77777777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67 308 000 – Терновский муниципальный округ</w:t>
            </w:r>
          </w:p>
          <w:p w14:paraId="66949D95" w14:textId="77777777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67 310 000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Гагаринский муниципальный округ</w:t>
            </w:r>
          </w:p>
          <w:p w14:paraId="6E6E3DDC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67 312 000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Ленинский муниципальный округ</w:t>
            </w:r>
          </w:p>
          <w:p w14:paraId="16480DDF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67 314 000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1468">
              <w:rPr>
                <w:rFonts w:ascii="Times New Roman" w:eastAsia="Times New Roman" w:hAnsi="Times New Roman" w:cs="Times New Roman"/>
                <w:b/>
                <w:lang w:eastAsia="ru-RU"/>
              </w:rPr>
              <w:t>Нахимовский муниципальный округ</w:t>
            </w:r>
          </w:p>
          <w:p w14:paraId="6548DBAE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67 316 000 –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Верхнесадовский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3720A0D7" w14:textId="77777777" w:rsidR="00263796" w:rsidRPr="008A1468" w:rsidRDefault="00263796" w:rsidP="00FD311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69ABA465" w14:textId="405409FF" w:rsidR="00263796" w:rsidRPr="008A1468" w:rsidRDefault="00263796" w:rsidP="00EA729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</w:tc>
      </w:tr>
    </w:tbl>
    <w:p w14:paraId="1A122B88" w14:textId="2DCB5C28" w:rsidR="00B94038" w:rsidRPr="00B94038" w:rsidRDefault="00B94038" w:rsidP="009A4533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980CD8E" w14:textId="66D74EC1" w:rsidR="00EA7292" w:rsidRPr="00EA7292" w:rsidRDefault="00EA7292" w:rsidP="003027B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</w:pP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величина дохода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2024 год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7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300 000 руб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адвокат 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02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уплатить ОПС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размере </w:t>
      </w:r>
      <w:r w:rsidRPr="00EA7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1%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суммы дохода, превышающ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эту величину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3027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Срок уплаты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1 % 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</w:t>
      </w:r>
      <w:r w:rsidRPr="00EA72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A7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01.07.2025 года</w:t>
      </w:r>
      <w:r w:rsidR="003027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r w:rsidR="006434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реквизиты оплаты</w:t>
      </w:r>
      <w:r w:rsidR="003027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через банковское учреждение </w:t>
      </w:r>
      <w:r w:rsidR="006434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такие же, как указаны выше). </w:t>
      </w:r>
      <w:bookmarkStart w:id="1" w:name="_GoBack"/>
      <w:bookmarkEnd w:id="1"/>
    </w:p>
    <w:p w14:paraId="46C78451" w14:textId="77777777" w:rsidR="00276645" w:rsidRDefault="00276645" w:rsidP="00276645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68D1E" w14:textId="1ED16931" w:rsidR="00276645" w:rsidRDefault="00276645" w:rsidP="00276645">
      <w:pPr>
        <w:pStyle w:val="a3"/>
        <w:spacing w:after="0" w:afterAutospacing="0"/>
        <w:rPr>
          <w:rStyle w:val="a4"/>
          <w:sz w:val="8"/>
          <w:szCs w:val="8"/>
        </w:rPr>
      </w:pPr>
      <w:bookmarkStart w:id="2" w:name="_Hlk181105823"/>
      <w:r>
        <w:rPr>
          <w:rStyle w:val="a4"/>
        </w:rPr>
        <w:t xml:space="preserve">ВНИМАНИЮ ВОЕННЫХ ПЕНСИОНЕРОВ! </w:t>
      </w:r>
    </w:p>
    <w:p w14:paraId="40AA29FF" w14:textId="77777777" w:rsidR="00276645" w:rsidRDefault="00276645" w:rsidP="00276645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0EDC9022" w14:textId="77777777" w:rsidR="00276645" w:rsidRDefault="00276645" w:rsidP="00276645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206FB663" w14:textId="3EDF96F7" w:rsidR="008F60A5" w:rsidRPr="00044320" w:rsidRDefault="00276645" w:rsidP="007F5A3F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Адвокаты, </w:t>
      </w:r>
      <w:bookmarkEnd w:id="2"/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являющиеся военными пенсионерами - получателями пенсии за выслугу лет или по инвалидности </w:t>
      </w:r>
      <w:r w:rsidRPr="00B605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освобождены от уплаты страховых взносов на ОПС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Военные пенсионеры (пенсионеры МВД)</w:t>
      </w:r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уплачивают страховые взносы только на ОМС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в </w:t>
      </w:r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размере </w:t>
      </w:r>
      <w:r w:rsidRPr="00B605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9 846,64 руб.</w:t>
      </w:r>
      <w:r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F5A3F" w:rsidRPr="00B6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7F5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году.</w:t>
      </w:r>
    </w:p>
    <w:bookmarkEnd w:id="0"/>
    <w:p w14:paraId="1F4A2BF1" w14:textId="0FD62834" w:rsidR="007F5A3F" w:rsidRDefault="007F5A3F" w:rsidP="00D64A21">
      <w:pPr>
        <w:pStyle w:val="a3"/>
        <w:spacing w:before="0" w:beforeAutospacing="0" w:after="0" w:afterAutospacing="0"/>
        <w:ind w:right="850"/>
        <w:jc w:val="both"/>
      </w:pPr>
      <w:r>
        <w:t>В целях прекращения у адвоката</w:t>
      </w:r>
      <w:r>
        <w:t>, являющегося военным пенсионером,</w:t>
      </w:r>
      <w:r>
        <w:t xml:space="preserve"> обязанности по уплате страховых взносов на ОПС ему необходимо обратиться в налоговый орган по месту жительства с </w:t>
      </w:r>
      <w:r>
        <w:rPr>
          <w:rStyle w:val="a4"/>
        </w:rPr>
        <w:t xml:space="preserve">Заявлением о прекращении обязанности по уплате страховых взносов на обязательное пенсионное страхование </w:t>
      </w:r>
      <w:r w:rsidRPr="007F5A3F">
        <w:rPr>
          <w:rStyle w:val="a4"/>
          <w:b w:val="0"/>
          <w:bCs w:val="0"/>
        </w:rPr>
        <w:t>по рекомендуемой форме КНД 1150118</w:t>
      </w:r>
      <w:r>
        <w:rPr>
          <w:rStyle w:val="a4"/>
          <w:b w:val="0"/>
          <w:bCs w:val="0"/>
        </w:rPr>
        <w:t xml:space="preserve"> (</w:t>
      </w:r>
      <w:r>
        <w:rPr>
          <w:rStyle w:val="a4"/>
          <w:b w:val="0"/>
          <w:bCs w:val="0"/>
        </w:rPr>
        <w:t>с 26.09.2024</w:t>
      </w:r>
      <w:r>
        <w:rPr>
          <w:rStyle w:val="a4"/>
          <w:b w:val="0"/>
          <w:bCs w:val="0"/>
        </w:rPr>
        <w:t xml:space="preserve"> действует новая форма</w:t>
      </w:r>
      <w:r w:rsidR="00DA1D63">
        <w:rPr>
          <w:rStyle w:val="a4"/>
          <w:b w:val="0"/>
          <w:bCs w:val="0"/>
        </w:rPr>
        <w:t xml:space="preserve"> заявления</w:t>
      </w:r>
      <w:r>
        <w:rPr>
          <w:rStyle w:val="a4"/>
          <w:b w:val="0"/>
          <w:bCs w:val="0"/>
        </w:rPr>
        <w:t>, образец новой формы в прикрепленном файле</w:t>
      </w:r>
      <w:r>
        <w:t>)</w:t>
      </w:r>
      <w:r>
        <w:rPr>
          <w:rStyle w:val="a4"/>
        </w:rPr>
        <w:t xml:space="preserve"> </w:t>
      </w:r>
      <w:r>
        <w:t xml:space="preserve">с представлением копии пенсионного удостоверения.  </w:t>
      </w:r>
    </w:p>
    <w:p w14:paraId="1BFDF224" w14:textId="77777777" w:rsidR="00D64A21" w:rsidRDefault="00D64A21" w:rsidP="00D64A21">
      <w:pPr>
        <w:pStyle w:val="a3"/>
        <w:spacing w:before="0" w:beforeAutospacing="0" w:after="0" w:afterAutospacing="0"/>
        <w:ind w:right="850"/>
        <w:jc w:val="both"/>
        <w:rPr>
          <w:sz w:val="8"/>
          <w:szCs w:val="8"/>
        </w:rPr>
      </w:pPr>
    </w:p>
    <w:p w14:paraId="2600FFDC" w14:textId="77777777" w:rsidR="00D64A21" w:rsidRDefault="00D64A21" w:rsidP="00D64A21">
      <w:pPr>
        <w:pStyle w:val="a3"/>
        <w:spacing w:before="0" w:beforeAutospacing="0" w:after="0" w:afterAutospacing="0"/>
        <w:ind w:right="850"/>
        <w:jc w:val="both"/>
        <w:rPr>
          <w:sz w:val="8"/>
          <w:szCs w:val="8"/>
        </w:rPr>
      </w:pPr>
    </w:p>
    <w:p w14:paraId="7B847A10" w14:textId="783F0DCA" w:rsidR="007F5A3F" w:rsidRDefault="007F5A3F" w:rsidP="00D64A21">
      <w:pPr>
        <w:pStyle w:val="a3"/>
        <w:spacing w:before="0" w:beforeAutospacing="0" w:after="0" w:afterAutospacing="0"/>
        <w:ind w:right="850"/>
        <w:jc w:val="both"/>
      </w:pPr>
      <w:r>
        <w:t xml:space="preserve">В случае, если в пенсионном удостоверении не указано, что пенсия за выслугу лет или по инвалидности назначена в соответствии с Законом РФ №4468-1, то дополнительно предоставляется Справка из федерального ведомства, осуществляющего его пенсионное обеспечение, о подтверждении факта получения пенсии в соответствии с Законом РФ №4468-1 </w:t>
      </w:r>
      <w:r w:rsidR="00D64A21" w:rsidRPr="00D64A21">
        <w:rPr>
          <w:i/>
          <w:iCs/>
        </w:rPr>
        <w:t>(</w:t>
      </w:r>
      <w:r w:rsidR="00D64A21" w:rsidRPr="00D64A21">
        <w:rPr>
          <w:i/>
          <w:iCs/>
        </w:rPr>
        <w:t>Закон РФ от 12.02.1993 №4468-1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 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  <w:r w:rsidR="00D64A21">
        <w:rPr>
          <w:i/>
          <w:iCs/>
        </w:rPr>
        <w:t>)</w:t>
      </w:r>
      <w:r w:rsidR="00D64A21" w:rsidRPr="00D64A21">
        <w:t> </w:t>
      </w:r>
    </w:p>
    <w:p w14:paraId="1B2836CB" w14:textId="77777777" w:rsidR="00D64A21" w:rsidRDefault="00D64A21" w:rsidP="00D64A21">
      <w:pPr>
        <w:pStyle w:val="a3"/>
        <w:spacing w:before="0" w:beforeAutospacing="0" w:after="0" w:afterAutospacing="0"/>
        <w:rPr>
          <w:rStyle w:val="a4"/>
        </w:rPr>
      </w:pPr>
    </w:p>
    <w:p w14:paraId="2C00CE6F" w14:textId="77777777" w:rsidR="00D64A21" w:rsidRDefault="00D64A21" w:rsidP="00D64A21">
      <w:pPr>
        <w:pStyle w:val="a3"/>
        <w:spacing w:before="0" w:beforeAutospacing="0" w:after="0" w:afterAutospacing="0"/>
        <w:rPr>
          <w:rStyle w:val="a4"/>
        </w:rPr>
      </w:pPr>
    </w:p>
    <w:p w14:paraId="6DD5E159" w14:textId="70CAB7F9" w:rsidR="00D64A21" w:rsidRDefault="00D64A21" w:rsidP="00D64A21">
      <w:pPr>
        <w:pStyle w:val="a3"/>
        <w:spacing w:before="0" w:beforeAutospacing="0" w:after="0" w:afterAutospacing="0"/>
        <w:rPr>
          <w:rStyle w:val="a4"/>
          <w:sz w:val="8"/>
          <w:szCs w:val="8"/>
        </w:rPr>
      </w:pPr>
      <w:r>
        <w:rPr>
          <w:rStyle w:val="a4"/>
        </w:rPr>
        <w:t xml:space="preserve">ВНИМАНИЮ </w:t>
      </w:r>
      <w:r>
        <w:rPr>
          <w:rStyle w:val="a4"/>
        </w:rPr>
        <w:t>АДВОКАТОВ, СТАТУС КОТОРЫХ БЫЛ ПРИОБРЕТЕН ИЛИ ВОЗОБНОВЛЕН В 2024 ГОДУ</w:t>
      </w:r>
      <w:r>
        <w:rPr>
          <w:rStyle w:val="a4"/>
        </w:rPr>
        <w:t>!</w:t>
      </w:r>
    </w:p>
    <w:p w14:paraId="29148786" w14:textId="77777777" w:rsidR="00D64A21" w:rsidRDefault="00D64A21" w:rsidP="00D64A21">
      <w:pPr>
        <w:pStyle w:val="a3"/>
        <w:spacing w:before="0" w:beforeAutospacing="0" w:after="0" w:afterAutospacing="0"/>
        <w:rPr>
          <w:rStyle w:val="a4"/>
          <w:sz w:val="8"/>
          <w:szCs w:val="8"/>
        </w:rPr>
      </w:pPr>
    </w:p>
    <w:p w14:paraId="74D5B824" w14:textId="585E1803" w:rsidR="00620BDC" w:rsidRDefault="00DA4AB1" w:rsidP="002F6930">
      <w:pPr>
        <w:pStyle w:val="a3"/>
        <w:spacing w:before="0" w:beforeAutospacing="0" w:after="0" w:afterAutospacing="0" w:line="288" w:lineRule="atLeast"/>
        <w:ind w:right="850"/>
        <w:jc w:val="both"/>
      </w:pPr>
      <w:r w:rsidRPr="00D64A21">
        <w:t>Если статус адвоката был приобретен или возобновлен в 20</w:t>
      </w:r>
      <w:r w:rsidR="00AB7D4B" w:rsidRPr="00D64A21">
        <w:t>2</w:t>
      </w:r>
      <w:r w:rsidR="00D64A21">
        <w:t>4</w:t>
      </w:r>
      <w:r w:rsidRPr="00D64A21">
        <w:t xml:space="preserve"> году, то адвокат должен оплатить фиксированные страховые взносы только за то время, пока он пребывал в статусе адвоката. То есть, адвокат освобождается от уплаты страховых взносов за периоды, в которых его статус адвоката был приостановлен или отсутствовал</w:t>
      </w:r>
      <w:r w:rsidR="002F6930">
        <w:t>.</w:t>
      </w:r>
      <w:r w:rsidR="00620BDC">
        <w:t xml:space="preserve"> </w:t>
      </w:r>
      <w:r w:rsidR="002F6930">
        <w:t>С</w:t>
      </w:r>
      <w:r w:rsidR="00620BDC">
        <w:t xml:space="preserve">умма </w:t>
      </w:r>
      <w:r w:rsidR="00620BDC">
        <w:t>определяется пропорционально количеству календарных месяцев начиная с календарного месяца начала деятельности. За неполный месяц деятельности фиксированный размер страховых взносов определяется пропорционально количеству календарных дней этого месяца.</w:t>
      </w:r>
    </w:p>
    <w:p w14:paraId="6DC11A4B" w14:textId="46062F7E" w:rsidR="00DA4AB1" w:rsidRDefault="00DA4AB1" w:rsidP="00620BDC">
      <w:pPr>
        <w:pStyle w:val="a3"/>
        <w:spacing w:before="0" w:beforeAutospacing="0" w:after="0" w:afterAutospacing="0"/>
        <w:ind w:right="850"/>
        <w:jc w:val="both"/>
        <w:rPr>
          <w:color w:val="000000"/>
          <w:sz w:val="23"/>
          <w:szCs w:val="23"/>
          <w:shd w:val="clear" w:color="auto" w:fill="FFFFFF"/>
        </w:rPr>
      </w:pPr>
    </w:p>
    <w:p w14:paraId="2275DCBD" w14:textId="77777777" w:rsidR="0010702D" w:rsidRDefault="0010702D" w:rsidP="001F0990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BFCB8" w14:textId="7D4AF682" w:rsidR="00BA00B8" w:rsidRDefault="00BA00B8" w:rsidP="001F0990">
      <w:pPr>
        <w:pStyle w:val="a3"/>
        <w:ind w:left="-1276"/>
      </w:pPr>
    </w:p>
    <w:p w14:paraId="3FDFC6FF" w14:textId="06E20287" w:rsidR="00BA00B8" w:rsidRDefault="00BA00B8" w:rsidP="001F0990">
      <w:pPr>
        <w:pStyle w:val="a3"/>
        <w:ind w:left="-1276"/>
      </w:pPr>
    </w:p>
    <w:p w14:paraId="27879903" w14:textId="77777777" w:rsidR="00BA00B8" w:rsidRDefault="00BA00B8" w:rsidP="001F0990">
      <w:pPr>
        <w:pStyle w:val="a3"/>
        <w:ind w:left="-1276"/>
      </w:pPr>
    </w:p>
    <w:sectPr w:rsidR="00BA00B8" w:rsidSect="00EA7292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C48"/>
    <w:multiLevelType w:val="hybridMultilevel"/>
    <w:tmpl w:val="68C4B72A"/>
    <w:lvl w:ilvl="0" w:tplc="F33A8FC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D9"/>
    <w:rsid w:val="00017D1B"/>
    <w:rsid w:val="00025E74"/>
    <w:rsid w:val="00044320"/>
    <w:rsid w:val="00070B4B"/>
    <w:rsid w:val="000907EC"/>
    <w:rsid w:val="000A4369"/>
    <w:rsid w:val="0010702D"/>
    <w:rsid w:val="0015797B"/>
    <w:rsid w:val="001A0FF3"/>
    <w:rsid w:val="001A4D34"/>
    <w:rsid w:val="001B3E2D"/>
    <w:rsid w:val="001C6E3A"/>
    <w:rsid w:val="001F0990"/>
    <w:rsid w:val="002104CC"/>
    <w:rsid w:val="0021201A"/>
    <w:rsid w:val="00263796"/>
    <w:rsid w:val="00276645"/>
    <w:rsid w:val="0029233C"/>
    <w:rsid w:val="002F077D"/>
    <w:rsid w:val="002F6930"/>
    <w:rsid w:val="002F7A25"/>
    <w:rsid w:val="003027B3"/>
    <w:rsid w:val="00313E28"/>
    <w:rsid w:val="00376FE8"/>
    <w:rsid w:val="003A3926"/>
    <w:rsid w:val="00423B84"/>
    <w:rsid w:val="00432028"/>
    <w:rsid w:val="00496186"/>
    <w:rsid w:val="004C6749"/>
    <w:rsid w:val="004F0C09"/>
    <w:rsid w:val="005310E5"/>
    <w:rsid w:val="005947E6"/>
    <w:rsid w:val="005A05A7"/>
    <w:rsid w:val="005A6C47"/>
    <w:rsid w:val="005C24FF"/>
    <w:rsid w:val="005C7381"/>
    <w:rsid w:val="00620BDC"/>
    <w:rsid w:val="00643476"/>
    <w:rsid w:val="006569F3"/>
    <w:rsid w:val="0068490A"/>
    <w:rsid w:val="007151B2"/>
    <w:rsid w:val="00715ADA"/>
    <w:rsid w:val="007541DF"/>
    <w:rsid w:val="007838CD"/>
    <w:rsid w:val="007F5A3F"/>
    <w:rsid w:val="008100E1"/>
    <w:rsid w:val="008A1AD9"/>
    <w:rsid w:val="008B405F"/>
    <w:rsid w:val="008F0225"/>
    <w:rsid w:val="008F60A5"/>
    <w:rsid w:val="00937BD3"/>
    <w:rsid w:val="009A2BEF"/>
    <w:rsid w:val="009A4533"/>
    <w:rsid w:val="009C3247"/>
    <w:rsid w:val="00AB7D4B"/>
    <w:rsid w:val="00AF26BD"/>
    <w:rsid w:val="00B64CFE"/>
    <w:rsid w:val="00B87D3D"/>
    <w:rsid w:val="00B94038"/>
    <w:rsid w:val="00B94632"/>
    <w:rsid w:val="00BA00B8"/>
    <w:rsid w:val="00BD5C2A"/>
    <w:rsid w:val="00C15F6D"/>
    <w:rsid w:val="00C62BB1"/>
    <w:rsid w:val="00CF40CF"/>
    <w:rsid w:val="00CF4F59"/>
    <w:rsid w:val="00D07138"/>
    <w:rsid w:val="00D64A21"/>
    <w:rsid w:val="00D763C7"/>
    <w:rsid w:val="00DA1D63"/>
    <w:rsid w:val="00DA4AB1"/>
    <w:rsid w:val="00DF2B0D"/>
    <w:rsid w:val="00E24462"/>
    <w:rsid w:val="00E4190C"/>
    <w:rsid w:val="00EA7292"/>
    <w:rsid w:val="00EB416A"/>
    <w:rsid w:val="00EE310C"/>
    <w:rsid w:val="00E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E036"/>
  <w15:docId w15:val="{9514BF63-C340-42DC-B50F-9768C998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A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90A"/>
    <w:rPr>
      <w:b/>
      <w:bCs/>
    </w:rPr>
  </w:style>
  <w:style w:type="character" w:styleId="a5">
    <w:name w:val="Hyperlink"/>
    <w:basedOn w:val="a0"/>
    <w:uiPriority w:val="99"/>
    <w:unhideWhenUsed/>
    <w:rsid w:val="00BA00B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F4F5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F4F5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7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aymen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 Марчук</cp:lastModifiedBy>
  <cp:revision>3</cp:revision>
  <dcterms:created xsi:type="dcterms:W3CDTF">2024-10-29T08:06:00Z</dcterms:created>
  <dcterms:modified xsi:type="dcterms:W3CDTF">2024-10-29T13:46:00Z</dcterms:modified>
</cp:coreProperties>
</file>